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="240" w:lineRule="exact"/>
        <w:tabs>
          <w:tab w:val="left" w:pos="1190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</w:t>
      </w:r>
      <w:r/>
    </w:p>
    <w:p>
      <w:pPr>
        <w:pStyle w:val="837"/>
        <w:jc w:val="center"/>
        <w:spacing w:line="240" w:lineRule="exact"/>
        <w:tabs>
          <w:tab w:val="left" w:pos="11907" w:leader="none"/>
        </w:tabs>
        <w:rPr>
          <w:rFonts w:ascii="Times New Roman" w:hAnsi="Times New Roman" w:cs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37"/>
        <w:jc w:val="center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</w:t>
      </w:r>
      <w:r/>
    </w:p>
    <w:p>
      <w:pPr>
        <w:pStyle w:val="837"/>
        <w:jc w:val="right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«Молодежь города Ставрополя»</w:t>
      </w:r>
      <w:r/>
    </w:p>
    <w:p>
      <w:pPr>
        <w:pStyle w:val="8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20"/>
        <w:jc w:val="center"/>
        <w:spacing w:after="0" w:line="240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center" w:pos="7503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495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/>
      <w:bookmarkStart w:id="0" w:name="P230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И ОБЩАЯ ХАРАКТЕРИСТИКА </w:t>
      </w:r>
      <w:r/>
    </w:p>
    <w:p>
      <w:pPr>
        <w:ind w:firstLine="720"/>
        <w:jc w:val="center"/>
        <w:spacing w:after="0" w:line="240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муниципальной программы «Молодежь города Ставрополя» </w:t>
      </w:r>
      <w:r/>
    </w:p>
    <w:p>
      <w:pPr>
        <w:ind w:firstLine="720"/>
        <w:jc w:val="center"/>
        <w:spacing w:after="0" w:line="240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</w:r>
      <w:r/>
    </w:p>
    <w:tbl>
      <w:tblPr>
        <w:tblW w:w="15939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4"/>
        <w:gridCol w:w="2330"/>
        <w:gridCol w:w="1984"/>
        <w:gridCol w:w="2124"/>
        <w:gridCol w:w="860"/>
        <w:gridCol w:w="993"/>
        <w:gridCol w:w="993"/>
        <w:gridCol w:w="851"/>
        <w:gridCol w:w="991"/>
        <w:gridCol w:w="991"/>
        <w:gridCol w:w="992"/>
        <w:gridCol w:w="2266"/>
      </w:tblGrid>
      <w:tr>
        <w:trPr/>
        <w:tc>
          <w:tcPr>
            <w:tcW w:w="56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№ п/п</w:t>
            </w:r>
            <w:r>
              <w:rPr>
                <w:sz w:val="21"/>
              </w:rPr>
            </w:r>
            <w:r/>
          </w:p>
        </w:tc>
        <w:tc>
          <w:tcPr>
            <w:tcW w:w="233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Наименование основного мероприятия (мероприятия)</w:t>
            </w:r>
            <w:r>
              <w:rPr>
                <w:sz w:val="21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Ответственный исполнитель, соисполнители</w:t>
            </w:r>
            <w:r>
              <w:rPr>
                <w:sz w:val="21"/>
              </w:rPr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Обоснование выделения основного мероприятия (мероприятия)</w:t>
            </w:r>
            <w:r>
              <w:rPr>
                <w:sz w:val="21"/>
              </w:rPr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Срок испол</w:t>
              <w:br/>
              <w:t xml:space="preserve">нения (годы)</w:t>
            </w:r>
            <w:r>
              <w:rPr>
                <w:sz w:val="21"/>
              </w:rPr>
            </w:r>
            <w:r/>
          </w:p>
        </w:tc>
        <w:tc>
          <w:tcPr>
            <w:gridSpan w:val="6"/>
            <w:tcW w:w="5811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Объем и источники финансирования (тыс. рублей)</w:t>
            </w:r>
            <w:r>
              <w:rPr>
                <w:sz w:val="21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Взаимосвязь с показателями (индикаторами)</w:t>
            </w:r>
            <w:r>
              <w:rPr>
                <w:sz w:val="21"/>
              </w:rPr>
            </w:r>
            <w:r/>
          </w:p>
        </w:tc>
      </w:tr>
      <w:tr>
        <w:trPr/>
        <w:tc>
          <w:tcPr>
            <w:tcW w:w="56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gridSpan w:val="6"/>
            <w:tcW w:w="5811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в том числе по годам:</w:t>
            </w:r>
            <w:r>
              <w:rPr>
                <w:sz w:val="21"/>
              </w:rPr>
            </w:r>
            <w:r/>
          </w:p>
        </w:tc>
        <w:tc>
          <w:tcPr>
            <w:tcW w:w="22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</w:tr>
      <w:tr>
        <w:trPr/>
        <w:tc>
          <w:tcPr>
            <w:tcW w:w="56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2022</w:t>
            </w:r>
            <w:r>
              <w:rPr>
                <w:sz w:val="21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2023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Theme="minorHAnsi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1"/>
                <w:szCs w:val="22"/>
              </w:rPr>
              <w:t xml:space="preserve">2025</w:t>
            </w:r>
            <w:r/>
          </w:p>
        </w:tc>
        <w:tc>
          <w:tcPr>
            <w:tcW w:w="22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</w:tr>
      <w:tr>
        <w:trPr>
          <w:trHeight w:val="209"/>
        </w:trPr>
        <w:tc>
          <w:tcPr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1</w:t>
            </w:r>
            <w:r>
              <w:rPr>
                <w:sz w:val="21"/>
              </w:rPr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2</w:t>
            </w:r>
            <w:r>
              <w:rPr>
                <w:sz w:val="2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3</w:t>
            </w:r>
            <w:r>
              <w:rPr>
                <w:sz w:val="21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4</w:t>
            </w:r>
            <w:r>
              <w:rPr>
                <w:sz w:val="21"/>
              </w:rPr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5</w:t>
            </w:r>
            <w:r>
              <w:rPr>
                <w:sz w:val="2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6</w:t>
            </w:r>
            <w:r>
              <w:rPr>
                <w:sz w:val="2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7</w:t>
            </w:r>
            <w:r>
              <w:rPr>
                <w:sz w:val="2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8</w:t>
            </w:r>
            <w:r>
              <w:rPr>
                <w:sz w:val="21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9</w:t>
            </w:r>
            <w:r>
              <w:rPr>
                <w:sz w:val="21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10</w:t>
            </w:r>
            <w:r>
              <w:rPr>
                <w:sz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 w:cs="Times New Roman" w:eastAsia="Calibri"/>
                <w:sz w:val="21"/>
                <w:szCs w:val="20"/>
              </w:rPr>
            </w:pPr>
            <w:r>
              <w:rPr>
                <w:rFonts w:ascii="Times New Roman" w:hAnsi="Times New Roman" w:cs="Times New Roman" w:eastAsia="Calibri"/>
                <w:sz w:val="21"/>
                <w:szCs w:val="20"/>
                <w:lang w:eastAsia="ru-RU"/>
              </w:rPr>
              <w:t xml:space="preserve">11</w:t>
            </w:r>
            <w:r>
              <w:rPr>
                <w:sz w:val="21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lang w:eastAsia="ru-RU"/>
              </w:rPr>
              <w:t xml:space="preserve">12</w:t>
            </w:r>
            <w:r>
              <w:rPr>
                <w:sz w:val="21"/>
              </w:rPr>
            </w:r>
            <w:r/>
          </w:p>
        </w:tc>
      </w:tr>
      <w:tr>
        <w:trPr/>
        <w:tc>
          <w:tcPr>
            <w:gridSpan w:val="11"/>
            <w:tcW w:w="1367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развитию молодежных общественных организаций»</w:t>
            </w:r>
            <w:r>
              <w:rPr>
                <w:sz w:val="21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sz w:val="21"/>
              </w:rPr>
            </w:r>
            <w:hyperlink w:tooltip="#P600" w:anchor="P600" w:history="1">
              <w:r>
                <w:rPr>
                  <w:rFonts w:ascii="Times New Roman" w:hAnsi="Times New Roman" w:cs="Times New Roman"/>
                  <w:color w:val="000000" w:themeColor="text1"/>
                  <w:sz w:val="21"/>
                  <w:szCs w:val="22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- </w:t>
            </w:r>
            <w:hyperlink w:tooltip="#P623" w:anchor="P623" w:history="1">
              <w:r>
                <w:rPr>
                  <w:rFonts w:ascii="Times New Roman" w:hAnsi="Times New Roman" w:cs="Times New Roman"/>
                  <w:color w:val="000000" w:themeColor="text1"/>
                  <w:sz w:val="21"/>
                  <w:szCs w:val="22"/>
                </w:rPr>
                <w:t xml:space="preserve"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таблицы приложения 2 к муниципальной программе</w:t>
            </w:r>
            <w:r>
              <w:rPr>
                <w:sz w:val="21"/>
              </w:rPr>
            </w:r>
            <w:r/>
          </w:p>
        </w:tc>
      </w:tr>
      <w:tr>
        <w:trPr/>
        <w:tc>
          <w:tcPr>
            <w:gridSpan w:val="12"/>
            <w:tcW w:w="1593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outlineLvl w:val="3"/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  <w:r>
              <w:rPr>
                <w:sz w:val="21"/>
              </w:rPr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  <w:r>
              <w:rPr>
                <w:sz w:val="2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sz w:val="21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</w:t>
            </w:r>
            <w:r>
              <w:rPr>
                <w:sz w:val="21"/>
              </w:rPr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2020 - 2025</w:t>
            </w:r>
            <w:r>
              <w:rPr>
                <w:sz w:val="2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1182,25</w:t>
            </w:r>
            <w:r>
              <w:rPr>
                <w:sz w:val="21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852,00</w:t>
            </w:r>
            <w:r>
              <w:rPr>
                <w:sz w:val="21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9722,00</w:t>
            </w:r>
            <w:r>
              <w:rPr>
                <w:sz w:val="21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852,00</w:t>
            </w:r>
            <w:r>
              <w:rPr>
                <w:sz w:val="21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852,00</w:t>
            </w:r>
            <w:r>
              <w:rPr>
                <w:sz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852,00</w:t>
            </w:r>
            <w:r>
              <w:rPr>
                <w:sz w:val="21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 w:val="21"/>
                <w:szCs w:val="22"/>
              </w:rPr>
            </w:pPr>
            <w:r>
              <w:rPr>
                <w:sz w:val="21"/>
              </w:rPr>
            </w:r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 w:val="2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таблицы приложения 2 к муниципальной программе</w:t>
            </w:r>
            <w:r>
              <w:rPr>
                <w:sz w:val="21"/>
              </w:rPr>
            </w:r>
            <w:r/>
          </w:p>
        </w:tc>
      </w:tr>
      <w:tr>
        <w:trPr>
          <w:trHeight w:val="30"/>
        </w:trPr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подготовка к защите Отечества, развитие системы военно-патриотического воспитания, п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военно-патриотических мероприятий, направленных на подготовку молодежи к службе в рядах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подготовка к защите Отечества и формирование позитивного отношения к службе в рядах 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формирующих национальную идентичность, направленных на профилактику экстремизма и национализма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формирование национальной идентичности, профилактика межнациональных конфликтов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162,00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530,25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отказ от асоциальных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пропаганда здорового образа жизни молодежи, профилактика 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привычек и формирование позитивного имиджа здорового образа жизни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асоциальных привычек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социальная адаптация молодых людей с ограниченными возможностями здоровья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обеспечение участия работающих молодых людей в общественной жизни города Ставрополя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работающей молодежи, ее интеграция в социально-культурное пространство города Ставрополя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2. Создание системы поддержки и поощрения талантливой и успешной молодежи города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инициативной, талантливой и одаренной молодежи, развитие 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27,04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4927,0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4981,04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4927,04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4927,04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4927,04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Ставрополя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творческих и интеллектуальных способностей молодежи, создание условий для гармоничного развития личности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талантливой и одаренной молодежи, развитие молодежного творчества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1073,00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1073,00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1527,04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1073,00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1073,00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1073,00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Развитие движения КВН в городе Ставрополе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раскрытие творческих способностей молодежи, привлечение молодежи к участию в движении КВН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Участие в подготовке и проведении мероприятий, направленных на поддержку молодежной субкультуры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молодежной субкультуры, развитие новых, популярных в молодежной среде форм творчества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стимулирование талантливой и одаренной молодежи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3134,04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3134,04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интеллектуальное развитие молодежи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популяризация интеллектуального развития молодежи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36" w:anchor="P636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gridSpan w:val="12"/>
            <w:tcW w:w="1593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  <w:outlineLvl w:val="3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«Развитие инфраструктуры по работе с молодежью»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730,00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730,00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2129,00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730,00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730,00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730,00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конкурса молодежных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выявление и организация 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1340,00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инициатив и социальных проектов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«Стартап»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социально значимых проектов для молодежи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участия молодых людей города Ставрополя в проектно-форумной кампании, творческих конкурсах и фестивалях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поддержка инициативной молодежи, содействие молодежи в проектной деятельности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повышение эффективности работы общественных организаций с молодыми людьми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15.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выявление и реализацию молодежных инициатив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участия молодежи в общественной жизни города Ставрополя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360,00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559,00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360,00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360,00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360,00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4. Обеспечение деятельности муниципальных бюджетных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создание условий для функционирования 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4121,94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5230,66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6184,52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7547,10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7547,10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7547,10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/>
          </w:p>
        </w:tc>
        <w:tc>
          <w:tcPr>
            <w:tcW w:w="233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</w:t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</w:t>
            </w:r>
            <w:r/>
          </w:p>
        </w:tc>
      </w:tr>
      <w:tr>
        <w:trPr/>
        <w:tc>
          <w:tcPr>
            <w:gridSpan w:val="2"/>
            <w:tcW w:w="289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учреждений города Ставрополя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администрации города Ставрополя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муниципальных бюджетных учреждений города Ставрополя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программе</w:t>
            </w:r>
            <w:r/>
          </w:p>
        </w:tc>
      </w:tr>
      <w:tr>
        <w:trPr>
          <w:trHeight w:val="7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16.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330" w:type="dxa"/>
            <w:vMerge w:val="restart"/>
            <w:textDirection w:val="lrTb"/>
            <w:noWrap w:val="false"/>
          </w:tcPr>
          <w:p>
            <w:pPr>
              <w:pStyle w:val="837"/>
              <w:ind w:firstLine="0"/>
              <w:rPr>
                <w:rFonts w:ascii="Times New Roman" w:hAnsi="Times New Roman" w:cs="Times New Roman"/>
                <w:color w:val="000000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Предоставление субсидий на выполнение муниципального задания и иные цели муниципальному бюджетному учреждению города Ставрополя «Молодежный центр «Патриот»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создание условий для функционирования муниципальных бюджетных учреждений города Ставрополя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gridSpan w:val="8"/>
            <w:tcW w:w="8937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города Ставрополя</w:t>
            </w:r>
            <w:r/>
          </w:p>
        </w:tc>
      </w:tr>
      <w:tr>
        <w:trPr>
          <w:trHeight w:val="412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2060,97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2643,87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3129,45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4580,75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4580,75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4580,75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0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W w:w="8937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Ставропольского края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627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19,46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73,54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23"/>
        </w:trPr>
        <w:tc>
          <w:tcPr>
            <w:tcW w:w="564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330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создание условий для функционирования муниципальных бюджетных учреждений города Ставрополя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</w:r>
            <w:r/>
          </w:p>
        </w:tc>
        <w:tc>
          <w:tcPr>
            <w:gridSpan w:val="8"/>
            <w:tcW w:w="8937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города Ставрополя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627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2060,97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2547,87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2907,99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2966,35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2966,35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2966,35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173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W w:w="8937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Ставропольского края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283"/>
        </w:trPr>
        <w:tc>
          <w:tcPr>
            <w:tcW w:w="56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2020 - 2025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19,46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Cs w:val="22"/>
                <w:highlight w:val="none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73,54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highlight w:val="none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Cs w:val="22"/>
                <w:highlight w:val="none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color w:val="000000"/>
                <w:highlight w:val="none"/>
              </w:rPr>
            </w:pPr>
            <w:r/>
            <w:hyperlink w:tooltip="#P670" w:anchor="P670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пункты 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tooltip="#P681" w:anchor="P681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таблицы приложения 2 к муниципальной программе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highlight w:val="none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211"/>
        </w:trPr>
        <w:tc>
          <w:tcPr>
            <w:gridSpan w:val="5"/>
            <w:tcW w:w="7862" w:type="dxa"/>
            <w:vMerge w:val="restart"/>
            <w:textDirection w:val="lrTb"/>
            <w:noWrap w:val="false"/>
          </w:tcPr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</w:rPr>
              <w:t xml:space="preserve">города Ставрополя </w:t>
            </w:r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rFonts w:ascii="Times New Roman" w:hAnsi="Times New Roman" w:cs="Times New Roman" w:eastAsia="Times New Roman"/>
              </w:rPr>
            </w:r>
            <w:r/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10461,23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11700,74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 xml:space="preserve">14119,48</w:t>
            </w:r>
            <w:r>
              <w:rPr>
                <w:sz w:val="18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</w:pPr>
            <w:r/>
            <w:r/>
          </w:p>
        </w:tc>
      </w:tr>
      <w:tr>
        <w:trPr>
          <w:trHeight w:val="140"/>
        </w:trPr>
        <w:tc>
          <w:tcPr>
            <w:gridSpan w:val="5"/>
            <w:tcW w:w="7862" w:type="dxa"/>
            <w:vMerge w:val="restart"/>
            <w:textDirection w:val="lrTb"/>
            <w:noWrap w:val="false"/>
          </w:tcPr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</w:rPr>
              <w:t xml:space="preserve">Ставропольского края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38,92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147,08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</w:pPr>
            <w:r/>
            <w:r/>
          </w:p>
        </w:tc>
      </w:tr>
      <w:tr>
        <w:trPr>
          <w:trHeight w:val="351"/>
        </w:trPr>
        <w:tc>
          <w:tcPr>
            <w:gridSpan w:val="5"/>
            <w:tcW w:w="7862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по программе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10461,23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11739,66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spacing w:after="0" w:afterAutospacing="0" w:line="283" w:lineRule="exac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 xml:space="preserve">14266,56</w:t>
            </w:r>
            <w:r>
              <w:rPr>
                <w:sz w:val="18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14056,14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  <w:tc>
          <w:tcPr>
            <w:tcW w:w="2266" w:type="dxa"/>
            <w:vMerge w:val="restart"/>
            <w:textDirection w:val="lrTb"/>
            <w:noWrap w:val="false"/>
          </w:tcPr>
          <w:p>
            <w:pPr>
              <w:pStyle w:val="837"/>
              <w:spacing w:after="0" w:afterAutospacing="0" w:line="28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Cs w:val="22"/>
              </w:rPr>
            </w:r>
            <w:r/>
          </w:p>
        </w:tc>
      </w:tr>
      <w:tr>
        <w:trPr>
          <w:trHeight w:val="280"/>
        </w:trPr>
        <w:tc>
          <w:tcPr>
            <w:gridSpan w:val="5"/>
            <w:tcW w:w="7862" w:type="dxa"/>
            <w:vMerge w:val="restart"/>
            <w:textDirection w:val="lrTb"/>
            <w:noWrap w:val="false"/>
          </w:tcPr>
          <w:p>
            <w:pPr>
              <w:pStyle w:val="837"/>
              <w:jc w:val="lef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по программе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gridSpan w:val="7"/>
            <w:tcW w:w="8077" w:type="dxa"/>
            <w:vMerge w:val="restar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78635,87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1985" w:right="567" w:bottom="1418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4760624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3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3"/>
    <w:next w:val="833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basedOn w:val="834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basedOn w:val="834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basedOn w:val="834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basedOn w:val="83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basedOn w:val="834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3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3"/>
    <w:next w:val="833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4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38"/>
    <w:uiPriority w:val="99"/>
  </w:style>
  <w:style w:type="character" w:styleId="687">
    <w:name w:val="Footer Char"/>
    <w:basedOn w:val="834"/>
    <w:link w:val="840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0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38">
    <w:name w:val="Header"/>
    <w:basedOn w:val="833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834"/>
    <w:link w:val="838"/>
    <w:uiPriority w:val="99"/>
  </w:style>
  <w:style w:type="paragraph" w:styleId="840">
    <w:name w:val="Footer"/>
    <w:basedOn w:val="833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834"/>
    <w:link w:val="840"/>
    <w:uiPriority w:val="99"/>
  </w:style>
  <w:style w:type="table" w:styleId="842">
    <w:name w:val="Table Grid"/>
    <w:basedOn w:val="83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BA3223E-4EC7-4814-96E2-A062CEBA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Ставрополь Комитет культуры и молодежной политики</dc:creator>
  <cp:keywords/>
  <dc:description/>
  <cp:revision>10</cp:revision>
  <dcterms:created xsi:type="dcterms:W3CDTF">2022-09-21T15:25:00Z</dcterms:created>
  <dcterms:modified xsi:type="dcterms:W3CDTF">2022-12-05T08:22:32Z</dcterms:modified>
</cp:coreProperties>
</file>